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Powiatowy Urząd Pracy </w:t>
      </w:r>
      <w:r>
        <w:rPr>
          <w:b/>
          <w:sz w:val="32"/>
          <w:szCs w:val="32"/>
        </w:rPr>
        <w:br/>
        <w:t>w Leżajsku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Zawody deficytowe i nadwyżkowe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Informacja sygnalna</w:t>
      </w: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 </w:t>
      </w:r>
      <w:r w:rsidR="005F3235">
        <w:rPr>
          <w:b/>
          <w:sz w:val="32"/>
          <w:szCs w:val="32"/>
        </w:rPr>
        <w:t>I</w:t>
      </w:r>
      <w:r w:rsidR="005261A7">
        <w:rPr>
          <w:b/>
          <w:sz w:val="32"/>
          <w:szCs w:val="32"/>
        </w:rPr>
        <w:t>I</w:t>
      </w:r>
      <w:r>
        <w:rPr>
          <w:b/>
          <w:sz w:val="32"/>
          <w:szCs w:val="32"/>
        </w:rPr>
        <w:t xml:space="preserve"> półrocze</w:t>
      </w:r>
    </w:p>
    <w:p w:rsidR="00CF12E6" w:rsidRDefault="00CF12E6" w:rsidP="00CF12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201</w:t>
      </w:r>
      <w:r w:rsidR="00D11C29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 xml:space="preserve"> roku</w:t>
      </w: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32"/>
          <w:szCs w:val="32"/>
        </w:rPr>
      </w:pPr>
    </w:p>
    <w:p w:rsidR="00CF12E6" w:rsidRDefault="00CF12E6" w:rsidP="00CF12E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Leżajsk, </w:t>
      </w:r>
      <w:r w:rsidR="005261A7">
        <w:rPr>
          <w:b/>
          <w:sz w:val="22"/>
          <w:szCs w:val="22"/>
        </w:rPr>
        <w:t>27 lutego 2017</w:t>
      </w:r>
      <w:r>
        <w:rPr>
          <w:b/>
          <w:sz w:val="22"/>
          <w:szCs w:val="22"/>
        </w:rPr>
        <w:t xml:space="preserve"> r.</w:t>
      </w:r>
    </w:p>
    <w:p w:rsidR="00CF12E6" w:rsidRDefault="00CF12E6" w:rsidP="00CF12E6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Zgodnie z zapisami ustawy z dnia 20 kwietnia 2004r. o promocji zatrudnienia</w:t>
      </w:r>
      <w:r>
        <w:rPr>
          <w:sz w:val="22"/>
          <w:szCs w:val="22"/>
        </w:rPr>
        <w:br/>
        <w:t>i instytucjach rynku pracy (art. 8, ust.1 pkt 3 i art. 9, ust.1 pkt 9) opracowanie analiz rynku pracy, w tym prowadzenie monitoringu zawodów deficytowych i nadwyżkowych jest jednym z zadań samorządu województwa oraz samorządu powiatu w zakresie polityki rynku pracy.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inicjatywy Ministerstwa Pracy i Polityki Społecznej została opracowana nowa metodologia prowadzenia monitoringu zawodów deficytowych i nadwyżkowych począwszy od 2015 roku. 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Informacja sygnalna za I</w:t>
      </w:r>
      <w:r w:rsidR="005261A7">
        <w:rPr>
          <w:sz w:val="22"/>
          <w:szCs w:val="22"/>
        </w:rPr>
        <w:t>I</w:t>
      </w:r>
      <w:r>
        <w:rPr>
          <w:sz w:val="22"/>
          <w:szCs w:val="22"/>
        </w:rPr>
        <w:t xml:space="preserve"> półrocze 201</w:t>
      </w:r>
      <w:r w:rsidR="00D11C29">
        <w:rPr>
          <w:sz w:val="22"/>
          <w:szCs w:val="22"/>
        </w:rPr>
        <w:t>6</w:t>
      </w:r>
      <w:r>
        <w:rPr>
          <w:sz w:val="22"/>
          <w:szCs w:val="22"/>
        </w:rPr>
        <w:t xml:space="preserve"> r. jest </w:t>
      </w:r>
      <w:r w:rsidR="00D11C29">
        <w:rPr>
          <w:sz w:val="22"/>
          <w:szCs w:val="22"/>
        </w:rPr>
        <w:t>trzecią</w:t>
      </w:r>
      <w:r>
        <w:rPr>
          <w:sz w:val="22"/>
          <w:szCs w:val="22"/>
        </w:rPr>
        <w:t xml:space="preserve"> informacją sporządzoną w oparciu</w:t>
      </w:r>
      <w:r>
        <w:rPr>
          <w:sz w:val="22"/>
          <w:szCs w:val="22"/>
        </w:rPr>
        <w:br/>
        <w:t xml:space="preserve">o nową metodologię. </w:t>
      </w:r>
      <w:r w:rsidR="00D21DBD">
        <w:rPr>
          <w:sz w:val="22"/>
          <w:szCs w:val="22"/>
        </w:rPr>
        <w:t>Analizą objęto grupy elementarne (kod 4-cyfrowy).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Podstawowymi miernikami stosowanymi w monitoringu do określenia deficytu bądź nadwyżki są: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Wskaźnik dostępności ofert pracy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2"/>
          <w:sz w:val="22"/>
          <w:szCs w:val="22"/>
        </w:rPr>
        <w:object w:dxaOrig="1416" w:dyaOrig="8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8pt;height:40.2pt" o:ole="">
            <v:imagedata r:id="rId5" o:title=""/>
          </v:shape>
          <o:OLEObject Type="Embed" ProgID="Equation.3" ShapeID="_x0000_i1025" DrawAspect="Content" ObjectID="_1549777235" r:id="rId6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6" type="#_x0000_t75" style="width:21.6pt;height:23.4pt" o:ole="">
            <v:imagedata r:id="rId7" o:title=""/>
          </v:shape>
          <o:OLEObject Type="Embed" ProgID="Equation.3" ShapeID="_x0000_i1026" DrawAspect="Content" ObjectID="_1549777236" r:id="rId8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bezrobotnych w grupie zawodów k w okresie t </w:t>
      </w:r>
    </w:p>
    <w:p w:rsidR="00CF12E6" w:rsidRDefault="00CF12E6" w:rsidP="00CF12E6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7" type="#_x0000_t75" style="width:21.6pt;height:23.4pt" o:ole="">
            <v:imagedata r:id="rId9" o:title=""/>
          </v:shape>
          <o:OLEObject Type="Embed" ProgID="Equation.3" ShapeID="_x0000_i1027" DrawAspect="Content" ObjectID="_1549777237" r:id="rId10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dostępnych ofert pracy w grupie zawodów k w okresie t </w:t>
      </w:r>
    </w:p>
    <w:p w:rsidR="00CF12E6" w:rsidRDefault="00CF12E6" w:rsidP="00CF12E6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Miernik informuje o dostępności oferty pracy w danej grupie elementarnej. Im wyższa wartość miernika tym dostępność niższa.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Wskaźnik długotrwałego bezrobocia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0"/>
          <w:sz w:val="22"/>
          <w:szCs w:val="22"/>
        </w:rPr>
        <w:object w:dxaOrig="1980" w:dyaOrig="720">
          <v:shape id="_x0000_i1028" type="#_x0000_t75" style="width:99pt;height:36pt" o:ole="">
            <v:imagedata r:id="rId11" o:title=""/>
          </v:shape>
          <o:OLEObject Type="Embed" ProgID="Equation.3" ShapeID="_x0000_i1028" DrawAspect="Content" ObjectID="_1549777238" r:id="rId12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color w:val="auto"/>
          <w:position w:val="-12"/>
          <w:sz w:val="22"/>
          <w:szCs w:val="22"/>
        </w:rPr>
        <w:object w:dxaOrig="504" w:dyaOrig="384">
          <v:shape id="_x0000_i1029" type="#_x0000_t75" style="width:25.2pt;height:19.2pt" o:ole="">
            <v:imagedata r:id="rId13" o:title=""/>
          </v:shape>
          <o:OLEObject Type="Embed" ProgID="Equation.3" ShapeID="_x0000_i1029" DrawAspect="Content" ObjectID="_1549777239" r:id="rId14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długotrwale bezrobotnych w grupie zawodów k na koniec okresu t,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color w:val="FF0000"/>
          <w:position w:val="-12"/>
          <w:sz w:val="22"/>
          <w:szCs w:val="22"/>
        </w:rPr>
        <w:object w:dxaOrig="336" w:dyaOrig="384">
          <v:shape id="_x0000_i1030" type="#_x0000_t75" style="width:16.8pt;height:19.2pt" o:ole="">
            <v:imagedata r:id="rId15" o:title=""/>
          </v:shape>
          <o:OLEObject Type="Embed" ProgID="Equation.3" ShapeID="_x0000_i1030" DrawAspect="Content" ObjectID="_1549777240" r:id="rId16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zarejestrowanych bezrobotnych w grupie zawodów k na koniec okresu t,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informuje o tym, jaki odsetek bezrobotnych w elementarnej grupie zawodów stanowią długotrwale bezrobotni. Im większa wartość miernika tym więcej długotrwale bezrobotnych w danej grupie elementarnej zawodów.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 xml:space="preserve">Wskaźnik płynności bezrobotnych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position w:val="-30"/>
          <w:sz w:val="22"/>
          <w:szCs w:val="22"/>
        </w:rPr>
        <w:object w:dxaOrig="1416" w:dyaOrig="720">
          <v:shape id="_x0000_i1031" type="#_x0000_t75" style="width:70.8pt;height:36pt" o:ole="">
            <v:imagedata r:id="rId17" o:title=""/>
          </v:shape>
          <o:OLEObject Type="Embed" ProgID="Equation.3" ShapeID="_x0000_i1031" DrawAspect="Content" ObjectID="_1549777241" r:id="rId18"/>
        </w:objec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gdzie:</w:t>
      </w:r>
      <w:r>
        <w:rPr>
          <w:b/>
          <w:bCs/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position w:val="-12"/>
          <w:sz w:val="22"/>
          <w:szCs w:val="22"/>
        </w:rPr>
        <w:object w:dxaOrig="480" w:dyaOrig="384">
          <v:shape id="_x0000_i1032" type="#_x0000_t75" style="width:24pt;height:19.2pt" o:ole="">
            <v:imagedata r:id="rId19" o:title=""/>
          </v:shape>
          <o:OLEObject Type="Embed" ProgID="Equation.3" ShapeID="_x0000_i1032" DrawAspect="Content" ObjectID="_1549777242" r:id="rId20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odpływ bezrobotnych w grupie zawodów k w okresie t, </w:t>
      </w:r>
    </w:p>
    <w:p w:rsidR="00CF12E6" w:rsidRDefault="00CF12E6" w:rsidP="00CF12E6">
      <w:pPr>
        <w:pStyle w:val="Default"/>
        <w:spacing w:line="360" w:lineRule="auto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position w:val="-12"/>
          <w:sz w:val="22"/>
          <w:szCs w:val="22"/>
        </w:rPr>
        <w:object w:dxaOrig="504" w:dyaOrig="384">
          <v:shape id="_x0000_i1033" type="#_x0000_t75" style="width:25.2pt;height:19.2pt" o:ole="">
            <v:imagedata r:id="rId21" o:title=""/>
          </v:shape>
          <o:OLEObject Type="Embed" ProgID="Equation.3" ShapeID="_x0000_i1033" DrawAspect="Content" ObjectID="_1549777243" r:id="rId22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napływ bezrobotnych w grupie zawodów k w okresie t. </w:t>
      </w:r>
    </w:p>
    <w:p w:rsidR="00CF12E6" w:rsidRDefault="00CF12E6" w:rsidP="00CF12E6">
      <w:pPr>
        <w:pStyle w:val="Default"/>
        <w:spacing w:line="360" w:lineRule="auto"/>
        <w:ind w:firstLine="708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wskazuje na kierunek i natężenie ruchu bezrobotnych w elementarnej grupie zawodów k.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 nowej metodologii identyfikacja zawodów deficytowych i nadwyżkowych następuje poprzez nałożenie dodatkowych warunków na wcześniej wyliczone mierniki, co prezentuje poniższa tabela. </w:t>
      </w:r>
    </w:p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abela-Siatka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2450"/>
        <w:gridCol w:w="2450"/>
        <w:gridCol w:w="2450"/>
        <w:gridCol w:w="2451"/>
      </w:tblGrid>
      <w:tr w:rsidR="00CF12E6" w:rsidTr="00CF12E6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Zawody deficytowe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Wskaźnik dostępności oferty pracy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długotrwałego bezrobocia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płynności bezrobotnych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deficytowe 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24" w:dyaOrig="384">
                <v:shape id="_x0000_i1034" type="#_x0000_t75" style="width:61.2pt;height:19.2pt" o:ole="">
                  <v:imagedata r:id="rId23" o:title=""/>
                </v:shape>
                <o:OLEObject Type="Embed" ProgID="Equation.3" ShapeID="_x0000_i1034" DrawAspect="Content" ObjectID="_1549777244" r:id="rId24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5" type="#_x0000_t75" style="width:63pt;height:19.2pt" o:ole="">
                  <v:imagedata r:id="rId25" o:title=""/>
                </v:shape>
                <o:OLEObject Type="Embed" ProgID="Equation.3" ShapeID="_x0000_i1035" DrawAspect="Content" ObjectID="_1549777245" r:id="rId26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6" type="#_x0000_t75" style="width:49.8pt;height:19.2pt" o:ole="">
                  <v:imagedata r:id="rId27" o:title=""/>
                </v:shape>
                <o:OLEObject Type="Embed" ProgID="Equation.3" ShapeID="_x0000_i1036" DrawAspect="Content" ObjectID="_1549777246" r:id="rId28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zrównoważone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680" w:dyaOrig="384">
                <v:shape id="_x0000_i1037" type="#_x0000_t75" style="width:84pt;height:19.2pt" o:ole="">
                  <v:imagedata r:id="rId29" o:title=""/>
                </v:shape>
                <o:OLEObject Type="Embed" ProgID="Equation.3" ShapeID="_x0000_i1037" DrawAspect="Content" ObjectID="_1549777247" r:id="rId30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8" type="#_x0000_t75" style="width:63pt;height:19.2pt" o:ole="">
                  <v:imagedata r:id="rId31" o:title=""/>
                </v:shape>
                <o:OLEObject Type="Embed" ProgID="Equation.3" ShapeID="_x0000_i1038" DrawAspect="Content" ObjectID="_1549777248" r:id="rId32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9" type="#_x0000_t75" style="width:49.8pt;height:19.2pt" o:ole="">
                  <v:imagedata r:id="rId33" o:title=""/>
                </v:shape>
                <o:OLEObject Type="Embed" ProgID="Equation.3" ShapeID="_x0000_i1039" DrawAspect="Content" ObjectID="_1549777249" r:id="rId34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CF12E6" w:rsidTr="00CF12E6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nadwyżkowe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140" w:dyaOrig="384">
                <v:shape id="_x0000_i1040" type="#_x0000_t75" style="width:57pt;height:19.2pt" o:ole="">
                  <v:imagedata r:id="rId35" o:title=""/>
                </v:shape>
                <o:OLEObject Type="Embed" ProgID="Equation.3" ShapeID="_x0000_i1040" DrawAspect="Content" ObjectID="_1549777250" r:id="rId36"/>
              </w:object>
            </w:r>
          </w:p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lub brak wartości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41" type="#_x0000_t75" style="width:63pt;height:19.2pt" o:ole="">
                  <v:imagedata r:id="rId37" o:title=""/>
                </v:shape>
                <o:OLEObject Type="Embed" ProgID="Equation.3" ShapeID="_x0000_i1041" DrawAspect="Content" ObjectID="_1549777251" r:id="rId38"/>
              </w:objec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E6" w:rsidRDefault="00CF12E6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42" type="#_x0000_t75" style="width:49.8pt;height:19.2pt" o:ole="">
                  <v:imagedata r:id="rId39" o:title=""/>
                </v:shape>
                <o:OLEObject Type="Embed" ProgID="Equation.3" ShapeID="_x0000_i1042" DrawAspect="Content" ObjectID="_1549777252" r:id="rId40"/>
              </w:object>
            </w:r>
          </w:p>
        </w:tc>
      </w:tr>
    </w:tbl>
    <w:p w:rsidR="00CF12E6" w:rsidRDefault="00CF12E6" w:rsidP="00CF12E6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 przedstawionej tabeli wynika, że: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deficytowe </w:t>
      </w:r>
      <w:r>
        <w:rPr>
          <w:rFonts w:ascii="Times New Roman" w:hAnsi="Times New Roman" w:cs="Times New Roman"/>
          <w:sz w:val="22"/>
          <w:szCs w:val="22"/>
        </w:rPr>
        <w:t>to zawody, w których liczba dostępnych ofert pracy jest większa od średniego stanu bezrobotnych w danym okresie sprawozdawczym, odsetek długotrwale bezrobotnych w tych zawodach nie przekracza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), a odpływ bezrobotnych przewyższa ich napływ (bądź jest równy) w danym okresie sprawozdawczym.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maksymalnie deficytowe </w:t>
      </w:r>
      <w:r>
        <w:rPr>
          <w:rFonts w:ascii="Times New Roman" w:hAnsi="Times New Roman" w:cs="Times New Roman"/>
          <w:sz w:val="22"/>
          <w:szCs w:val="22"/>
        </w:rPr>
        <w:t xml:space="preserve">to zawody, w których nie odnotowano bezrobotnych czyli wskaźnik dostępności oferty pracy wynosi zero.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nadwyżkowe </w:t>
      </w:r>
      <w:r>
        <w:rPr>
          <w:rFonts w:ascii="Times New Roman" w:hAnsi="Times New Roman" w:cs="Times New Roman"/>
          <w:sz w:val="22"/>
          <w:szCs w:val="22"/>
        </w:rPr>
        <w:t>to zawody, w których występuje przewaga liczebna bezrobotnych nad dostępnymi ofertami pracy, bezrobocie długotrwałe powyżej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 oraz niski odpływ netto (wyższy napływ niż odpływ) bezrobotnych w danym okresie sprawozdawczym. </w:t>
      </w:r>
    </w:p>
    <w:p w:rsidR="00CF12E6" w:rsidRDefault="00CF12E6" w:rsidP="00CF12E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maksymalnie nadwyżkowe </w:t>
      </w:r>
      <w:r>
        <w:rPr>
          <w:rFonts w:ascii="Times New Roman" w:hAnsi="Times New Roman" w:cs="Times New Roman"/>
          <w:sz w:val="22"/>
          <w:szCs w:val="22"/>
        </w:rPr>
        <w:t xml:space="preserve">to takie, dla których nie ma żadnych ofert pracy tj. wskaźnik dostępności oferty pracy nie przyjmuje żadnych wartości (dzielenie przez zero). </w:t>
      </w:r>
    </w:p>
    <w:p w:rsidR="00CF12E6" w:rsidRDefault="00CF12E6" w:rsidP="00CF12E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Ranking elementarnych grup zawodów deficytowych i nadwyżkowych w </w:t>
      </w:r>
      <w:r w:rsidR="005F3235">
        <w:rPr>
          <w:sz w:val="22"/>
          <w:szCs w:val="22"/>
        </w:rPr>
        <w:t>I</w:t>
      </w:r>
      <w:r>
        <w:rPr>
          <w:sz w:val="22"/>
          <w:szCs w:val="22"/>
        </w:rPr>
        <w:t xml:space="preserve"> półroczu 201</w:t>
      </w:r>
      <w:r w:rsidR="00D11C29">
        <w:rPr>
          <w:sz w:val="22"/>
          <w:szCs w:val="22"/>
        </w:rPr>
        <w:t>6</w:t>
      </w:r>
      <w:r>
        <w:rPr>
          <w:sz w:val="22"/>
          <w:szCs w:val="22"/>
        </w:rPr>
        <w:t xml:space="preserve"> roku zawiera </w:t>
      </w:r>
      <w:r w:rsidR="005E0E34">
        <w:rPr>
          <w:sz w:val="22"/>
          <w:szCs w:val="22"/>
        </w:rPr>
        <w:t xml:space="preserve">poniższa </w:t>
      </w:r>
      <w:r>
        <w:rPr>
          <w:sz w:val="22"/>
          <w:szCs w:val="22"/>
        </w:rPr>
        <w:t>tabela.</w:t>
      </w:r>
    </w:p>
    <w:p w:rsidR="00CF12E6" w:rsidRDefault="00CF12E6" w:rsidP="00CF12E6">
      <w:pPr>
        <w:spacing w:line="360" w:lineRule="auto"/>
        <w:rPr>
          <w:sz w:val="22"/>
          <w:szCs w:val="22"/>
        </w:rPr>
        <w:sectPr w:rsidR="00CF12E6">
          <w:pgSz w:w="11906" w:h="17338"/>
          <w:pgMar w:top="1418" w:right="1060" w:bottom="1418" w:left="1185" w:header="709" w:footer="709" w:gutter="0"/>
          <w:cols w:space="708"/>
        </w:sectPr>
      </w:pPr>
    </w:p>
    <w:p w:rsidR="00CF12E6" w:rsidRDefault="00CF12E6" w:rsidP="005E0E34">
      <w:pPr>
        <w:spacing w:line="360" w:lineRule="auto"/>
        <w:jc w:val="both"/>
      </w:pPr>
    </w:p>
    <w:p w:rsidR="008E3475" w:rsidRDefault="005261A7">
      <w:r w:rsidRPr="005261A7">
        <w:drawing>
          <wp:inline distT="0" distB="0" distL="0" distR="0" wp14:anchorId="4F496855" wp14:editId="4E345EB8">
            <wp:extent cx="5760720" cy="6564704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64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3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2E6"/>
    <w:rsid w:val="00143263"/>
    <w:rsid w:val="002F0738"/>
    <w:rsid w:val="004718A0"/>
    <w:rsid w:val="005261A7"/>
    <w:rsid w:val="00592932"/>
    <w:rsid w:val="005E0E34"/>
    <w:rsid w:val="005F3235"/>
    <w:rsid w:val="006A4346"/>
    <w:rsid w:val="008552A5"/>
    <w:rsid w:val="009924D8"/>
    <w:rsid w:val="00A61C21"/>
    <w:rsid w:val="00CF12E6"/>
    <w:rsid w:val="00D11C29"/>
    <w:rsid w:val="00D21DBD"/>
    <w:rsid w:val="00D25201"/>
    <w:rsid w:val="00F22D51"/>
    <w:rsid w:val="00F5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12E6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CF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DB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12E6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CF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21D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DB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e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546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3</cp:revision>
  <cp:lastPrinted>2015-08-31T11:40:00Z</cp:lastPrinted>
  <dcterms:created xsi:type="dcterms:W3CDTF">2017-02-28T07:51:00Z</dcterms:created>
  <dcterms:modified xsi:type="dcterms:W3CDTF">2017-02-28T07:54:00Z</dcterms:modified>
</cp:coreProperties>
</file>